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dne_12. 11. 2013________v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Bartoníček Jakub, Doležal Antonín, Janda Matěj, Marková Adéla, Poulová Lucie, Poulová Natálie, Rosecká Gabriela, Sobotka Petr, Špatka Jakub, Vlček David, Vlčková Pavlína,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Omluveni: </w:t>
      </w:r>
      <w:r>
        <w:rPr>
          <w:b w:val="false"/>
          <w:bCs w:val="false"/>
        </w:rPr>
        <w:t>Štohanzl Martin, Chvátal Mojmír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Nezúčastnili se: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Program: Pravidelná schůzka 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Povinnost členů žákovské rady informovat třídu o projednaném programu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Organizace a realizace charitativních a humanitárních aktivit na škole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Sbírka pro CPK Chrpa – realizací pověřeni ve spolupráci s p. uč. M. Chalupovou Martin Štohanzl a Petr Sobotka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Podání žádosti o obnovení mikulášské nadílky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Vlčková Pavlína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